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9CE09">
      <w:pPr>
        <w:rPr>
          <w:rFonts w:hint="eastAsia" w:ascii="仿宋" w:hAnsi="仿宋" w:eastAsia="仿宋"/>
          <w:sz w:val="32"/>
          <w:szCs w:val="32"/>
        </w:rPr>
      </w:pPr>
      <w:bookmarkStart w:id="7" w:name="_GoBack"/>
      <w:bookmarkEnd w:id="7"/>
    </w:p>
    <w:p w14:paraId="304A0814">
      <w:pPr>
        <w:spacing w:line="480" w:lineRule="auto"/>
        <w:ind w:left="2393" w:hanging="2393" w:hangingChars="745"/>
        <w:jc w:val="left"/>
        <w:rPr>
          <w:rFonts w:hint="eastAsia" w:ascii="黑体" w:hAnsi="黑体" w:eastAsia="黑体"/>
          <w:b/>
          <w:sz w:val="32"/>
          <w:szCs w:val="32"/>
        </w:rPr>
      </w:pPr>
      <w:r>
        <w:rPr>
          <w:rFonts w:hint="eastAsia" w:ascii="黑体" w:hAnsi="黑体" w:eastAsia="黑体"/>
          <w:b/>
          <w:sz w:val="32"/>
          <w:szCs w:val="32"/>
        </w:rPr>
        <w:t>附件一：</w:t>
      </w:r>
    </w:p>
    <w:p w14:paraId="5469CFD2">
      <w:pPr>
        <w:spacing w:line="480" w:lineRule="auto"/>
        <w:jc w:val="center"/>
        <w:rPr>
          <w:rFonts w:hint="eastAsia" w:ascii="方正小标宋简体" w:hAnsi="华文中宋" w:eastAsia="方正小标宋简体"/>
          <w:b/>
          <w:sz w:val="36"/>
          <w:szCs w:val="36"/>
        </w:rPr>
      </w:pPr>
      <w:bookmarkStart w:id="0" w:name="OLE_LINK2"/>
      <w:r>
        <w:rPr>
          <w:rFonts w:hint="eastAsia" w:ascii="方正小标宋简体" w:hAnsi="华文中宋" w:eastAsia="方正小标宋简体"/>
          <w:b/>
          <w:sz w:val="36"/>
          <w:szCs w:val="36"/>
        </w:rPr>
        <w:t>《北京市预拌混凝土生产及设备情况统计报表》</w:t>
      </w:r>
    </w:p>
    <w:p w14:paraId="598C6F68">
      <w:pPr>
        <w:spacing w:line="480" w:lineRule="auto"/>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填报说明</w:t>
      </w:r>
    </w:p>
    <w:p w14:paraId="4478E484">
      <w:pPr>
        <w:pStyle w:val="7"/>
        <w:spacing w:line="500" w:lineRule="exact"/>
        <w:ind w:firstLine="643" w:firstLineChars="200"/>
        <w:rPr>
          <w:rFonts w:hint="eastAsia" w:ascii="仿宋_GB2312" w:hAnsi="华文仿宋" w:eastAsia="仿宋_GB2312" w:cstheme="minorBidi"/>
          <w:b/>
          <w:bCs/>
          <w:kern w:val="2"/>
          <w:sz w:val="32"/>
          <w:szCs w:val="32"/>
        </w:rPr>
      </w:pPr>
      <w:bookmarkStart w:id="1" w:name="OLE_LINK5"/>
      <w:r>
        <w:rPr>
          <w:rFonts w:hint="eastAsia" w:ascii="仿宋_GB2312" w:hAnsi="华文仿宋" w:eastAsia="仿宋_GB2312" w:cstheme="minorBidi"/>
          <w:b/>
          <w:bCs/>
          <w:kern w:val="2"/>
          <w:sz w:val="32"/>
          <w:szCs w:val="32"/>
        </w:rPr>
        <w:t>一、具体要求</w:t>
      </w:r>
    </w:p>
    <w:p w14:paraId="29F2B0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ind w:firstLine="640" w:firstLineChars="200"/>
        <w:jc w:val="left"/>
        <w:rPr>
          <w:rFonts w:hint="eastAsia" w:ascii="仿宋_GB2312" w:hAnsi="华文仿宋" w:eastAsia="仿宋_GB2312"/>
          <w:sz w:val="32"/>
          <w:szCs w:val="32"/>
        </w:rPr>
      </w:pPr>
      <w:r>
        <w:rPr>
          <w:rFonts w:hint="eastAsia" w:ascii="仿宋_GB2312" w:hAnsi="华文仿宋" w:eastAsia="仿宋_GB2312"/>
          <w:sz w:val="32"/>
          <w:szCs w:val="32"/>
        </w:rPr>
        <w:t>1. 本表是根据北京市住房和城乡建设委员会统计要求及结合行业实际情况综合制订。</w:t>
      </w:r>
    </w:p>
    <w:p w14:paraId="66CF9DA1">
      <w:pPr>
        <w:pStyle w:val="7"/>
        <w:spacing w:line="500" w:lineRule="exact"/>
        <w:ind w:firstLine="640" w:firstLineChars="200"/>
        <w:rPr>
          <w:rFonts w:hint="eastAsia" w:ascii="仿宋_GB2312" w:hAnsi="华文仿宋" w:eastAsia="仿宋_GB2312" w:cstheme="minorBidi"/>
          <w:kern w:val="2"/>
          <w:sz w:val="32"/>
          <w:szCs w:val="32"/>
        </w:rPr>
      </w:pPr>
      <w:r>
        <w:rPr>
          <w:rFonts w:hint="eastAsia" w:ascii="仿宋_GB2312" w:hAnsi="华文仿宋" w:eastAsia="仿宋_GB2312" w:cstheme="minorBidi"/>
          <w:kern w:val="2"/>
          <w:sz w:val="32"/>
          <w:szCs w:val="32"/>
        </w:rPr>
        <w:t>2. 统计范围为北京市所辖区域内所有预拌混凝土生产企业（站点）的相关数据信息。</w:t>
      </w:r>
    </w:p>
    <w:p w14:paraId="2B3C9D4A">
      <w:pPr>
        <w:pStyle w:val="7"/>
        <w:spacing w:line="500" w:lineRule="exact"/>
        <w:ind w:firstLine="640" w:firstLineChars="200"/>
        <w:rPr>
          <w:rFonts w:hint="eastAsia" w:ascii="仿宋_GB2312" w:hAnsi="华文仿宋" w:eastAsia="仿宋_GB2312" w:cstheme="minorBidi"/>
          <w:kern w:val="2"/>
          <w:sz w:val="32"/>
          <w:szCs w:val="32"/>
        </w:rPr>
      </w:pPr>
      <w:r>
        <w:rPr>
          <w:rFonts w:hint="eastAsia" w:ascii="仿宋_GB2312" w:hAnsi="华文仿宋" w:eastAsia="仿宋_GB2312" w:cstheme="minorBidi"/>
          <w:kern w:val="2"/>
          <w:sz w:val="32"/>
          <w:szCs w:val="32"/>
        </w:rPr>
        <w:t>3. 本表每季度报出一次，报出日期为本季度的次月10日前，逢节假日顺延。</w:t>
      </w:r>
      <w:r>
        <w:rPr>
          <w:rFonts w:hint="eastAsia" w:ascii="仿宋_GB2312" w:hAnsi="华文仿宋" w:eastAsia="仿宋_GB2312" w:cstheme="minorBidi"/>
          <w:kern w:val="2"/>
          <w:sz w:val="32"/>
          <w:szCs w:val="32"/>
        </w:rPr>
        <w:br w:type="textWrapping"/>
      </w:r>
      <w:r>
        <w:rPr>
          <w:rFonts w:hint="eastAsia" w:ascii="仿宋_GB2312" w:hAnsi="华文仿宋" w:eastAsia="仿宋_GB2312" w:cstheme="minorBidi"/>
          <w:kern w:val="2"/>
          <w:sz w:val="32"/>
          <w:szCs w:val="32"/>
        </w:rPr>
        <w:t xml:space="preserve">    4. 本表指标数据均为期末数量，即：4月10日前填报1-3月数据、7月10日前填报1-6月数据、10月10日前填报1-9 月数据、次年1月10日前填报1-12月数据。</w:t>
      </w:r>
    </w:p>
    <w:p w14:paraId="6F6B24C8">
      <w:pPr>
        <w:spacing w:line="500" w:lineRule="exact"/>
        <w:ind w:firstLine="643" w:firstLineChars="200"/>
        <w:rPr>
          <w:rFonts w:hint="eastAsia" w:ascii="仿宋_GB2312" w:hAnsi="华文仿宋" w:eastAsia="仿宋_GB2312"/>
          <w:b/>
          <w:sz w:val="32"/>
          <w:szCs w:val="32"/>
        </w:rPr>
      </w:pPr>
      <w:r>
        <w:rPr>
          <w:rFonts w:hint="eastAsia" w:ascii="仿宋_GB2312" w:hAnsi="华文仿宋" w:eastAsia="仿宋_GB2312"/>
          <w:b/>
          <w:sz w:val="32"/>
          <w:szCs w:val="32"/>
        </w:rPr>
        <w:t>二、统计表中的计算关系及填报内容说明</w:t>
      </w:r>
    </w:p>
    <w:p w14:paraId="7C6F073C">
      <w:pPr>
        <w:spacing w:line="500" w:lineRule="exact"/>
        <w:rPr>
          <w:rFonts w:hint="eastAsia" w:ascii="仿宋_GB2312" w:hAnsi="华文仿宋" w:eastAsia="仿宋_GB2312"/>
          <w:sz w:val="32"/>
          <w:szCs w:val="32"/>
        </w:rPr>
      </w:pPr>
      <w:r>
        <w:rPr>
          <w:rFonts w:hint="eastAsia" w:ascii="仿宋_GB2312" w:hAnsi="华文仿宋" w:eastAsia="仿宋_GB2312"/>
          <w:sz w:val="32"/>
          <w:szCs w:val="32"/>
        </w:rPr>
        <w:t xml:space="preserve">    1. 混凝土年生产能力（万m</w:t>
      </w:r>
      <w:r>
        <w:rPr>
          <w:rFonts w:ascii="Calibri" w:hAnsi="Calibri" w:eastAsia="仿宋_GB2312" w:cs="Calibri"/>
          <w:sz w:val="32"/>
          <w:szCs w:val="32"/>
        </w:rPr>
        <w:t>³</w:t>
      </w:r>
      <w:r>
        <w:rPr>
          <w:rFonts w:hint="eastAsia" w:ascii="仿宋_GB2312" w:hAnsi="华文仿宋" w:eastAsia="仿宋_GB2312"/>
          <w:sz w:val="32"/>
          <w:szCs w:val="32"/>
        </w:rPr>
        <w:t>）=每台机组年产能之和。(自动生成)</w:t>
      </w:r>
    </w:p>
    <w:p w14:paraId="4A758F4B">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 年产能:混凝土搅拌机1</w:t>
      </w:r>
      <w:bookmarkStart w:id="2" w:name="OLE_LINK6"/>
      <w:r>
        <w:rPr>
          <w:rFonts w:hint="eastAsia" w:ascii="仿宋_GB2312" w:hAnsi="华文仿宋" w:eastAsia="仿宋_GB2312"/>
          <w:sz w:val="32"/>
          <w:szCs w:val="32"/>
        </w:rPr>
        <w:t>m</w:t>
      </w:r>
      <w:r>
        <w:rPr>
          <w:rFonts w:ascii="Calibri" w:hAnsi="Calibri" w:eastAsia="仿宋_GB2312" w:cs="Calibri"/>
          <w:sz w:val="32"/>
          <w:szCs w:val="32"/>
        </w:rPr>
        <w:t>³</w:t>
      </w:r>
      <w:bookmarkEnd w:id="2"/>
      <w:r>
        <w:rPr>
          <w:rFonts w:hint="eastAsia" w:ascii="仿宋_GB2312" w:hAnsi="华文仿宋" w:eastAsia="仿宋_GB2312"/>
          <w:sz w:val="32"/>
          <w:szCs w:val="32"/>
        </w:rPr>
        <w:t>公称容量年产能按15万m</w:t>
      </w:r>
      <w:r>
        <w:rPr>
          <w:rFonts w:ascii="Calibri" w:hAnsi="Calibri" w:eastAsia="仿宋_GB2312" w:cs="Calibri"/>
          <w:sz w:val="32"/>
          <w:szCs w:val="32"/>
        </w:rPr>
        <w:t>³</w:t>
      </w:r>
      <w:r>
        <w:rPr>
          <w:rFonts w:hint="eastAsia" w:ascii="仿宋_GB2312" w:hAnsi="华文仿宋" w:eastAsia="仿宋_GB2312"/>
          <w:sz w:val="32"/>
          <w:szCs w:val="32"/>
        </w:rPr>
        <w:t>计算</w:t>
      </w:r>
      <w:bookmarkStart w:id="3" w:name="OLE_LINK3"/>
      <w:r>
        <w:rPr>
          <w:rFonts w:hint="eastAsia" w:ascii="仿宋_GB2312" w:hAnsi="华文仿宋" w:eastAsia="仿宋_GB2312"/>
          <w:sz w:val="32"/>
          <w:szCs w:val="32"/>
        </w:rPr>
        <w:t>（执行标准T/CBMF126/T/CCPA21-2021表A.1）</w:t>
      </w:r>
      <w:bookmarkEnd w:id="3"/>
      <w:r>
        <w:rPr>
          <w:rFonts w:hint="eastAsia" w:ascii="仿宋_GB2312" w:hAnsi="华文仿宋" w:eastAsia="仿宋_GB2312"/>
          <w:sz w:val="32"/>
          <w:szCs w:val="32"/>
        </w:rPr>
        <w:t xml:space="preserve">。  </w:t>
      </w:r>
    </w:p>
    <w:p w14:paraId="7DD29AA4">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 额定量：混凝土搅拌车的额定容量；混凝土泵车的额定输送能力（指小时泵送量）。</w:t>
      </w:r>
    </w:p>
    <w:p w14:paraId="1B070B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640" w:firstLineChars="200"/>
        <w:jc w:val="left"/>
        <w:rPr>
          <w:rFonts w:hint="eastAsia" w:ascii="仿宋_GB2312" w:hAnsi="华文仿宋" w:eastAsia="仿宋_GB2312" w:cs="Times New Roman"/>
          <w:sz w:val="32"/>
          <w:szCs w:val="32"/>
        </w:rPr>
      </w:pPr>
      <w:r>
        <w:rPr>
          <w:rFonts w:hint="eastAsia" w:ascii="仿宋_GB2312" w:hAnsi="华文仿宋" w:eastAsia="仿宋_GB2312" w:cs="Times New Roman"/>
          <w:sz w:val="32"/>
          <w:szCs w:val="32"/>
        </w:rPr>
        <w:t>4. 湿拌砂浆产量（万吨）=砂浆方量（万m</w:t>
      </w:r>
      <w:r>
        <w:rPr>
          <w:rFonts w:ascii="Calibri" w:hAnsi="Calibri" w:eastAsia="仿宋_GB2312" w:cs="Calibri"/>
          <w:sz w:val="32"/>
          <w:szCs w:val="32"/>
        </w:rPr>
        <w:t>³</w:t>
      </w:r>
      <w:r>
        <w:rPr>
          <w:rFonts w:hint="eastAsia" w:ascii="仿宋_GB2312" w:hAnsi="仿宋_GB2312" w:eastAsia="仿宋_GB2312" w:cs="仿宋_GB2312"/>
          <w:sz w:val="32"/>
          <w:szCs w:val="32"/>
        </w:rPr>
        <w:t>）×容重（</w:t>
      </w:r>
      <w:r>
        <w:rPr>
          <w:rFonts w:hint="eastAsia" w:ascii="仿宋_GB2312" w:hAnsi="华文仿宋" w:eastAsia="仿宋_GB2312" w:cs="Times New Roman"/>
          <w:sz w:val="32"/>
          <w:szCs w:val="32"/>
        </w:rPr>
        <w:t>t/</w:t>
      </w:r>
      <w:bookmarkStart w:id="4" w:name="OLE_LINK1"/>
      <w:bookmarkStart w:id="5" w:name="OLE_LINK4"/>
      <w:r>
        <w:rPr>
          <w:rFonts w:hint="eastAsia" w:ascii="仿宋_GB2312" w:hAnsi="华文仿宋" w:eastAsia="仿宋_GB2312" w:cs="Times New Roman"/>
          <w:sz w:val="32"/>
          <w:szCs w:val="32"/>
        </w:rPr>
        <w:t>m</w:t>
      </w:r>
      <w:r>
        <w:rPr>
          <w:rFonts w:ascii="Calibri" w:hAnsi="Calibri" w:eastAsia="仿宋_GB2312" w:cs="Calibri"/>
          <w:sz w:val="32"/>
          <w:szCs w:val="32"/>
        </w:rPr>
        <w:t>³</w:t>
      </w:r>
      <w:bookmarkEnd w:id="4"/>
      <w:r>
        <w:rPr>
          <w:rFonts w:hint="eastAsia" w:ascii="仿宋_GB2312" w:hAnsi="仿宋_GB2312" w:eastAsia="仿宋_GB2312" w:cs="仿宋_GB2312"/>
          <w:sz w:val="32"/>
          <w:szCs w:val="32"/>
        </w:rPr>
        <w:t>）</w:t>
      </w:r>
      <w:bookmarkEnd w:id="5"/>
      <w:r>
        <w:rPr>
          <w:rFonts w:hint="eastAsia" w:ascii="仿宋_GB2312" w:hAnsi="华文仿宋" w:eastAsia="仿宋_GB2312" w:cs="Times New Roman"/>
          <w:sz w:val="32"/>
          <w:szCs w:val="32"/>
        </w:rPr>
        <w:t>/10000 。</w:t>
      </w:r>
    </w:p>
    <w:p w14:paraId="5611BA73">
      <w:pPr>
        <w:spacing w:line="500" w:lineRule="exact"/>
        <w:ind w:firstLine="640" w:firstLineChars="200"/>
        <w:rPr>
          <w:rFonts w:hint="eastAsia" w:ascii="仿宋_GB2312" w:hAnsi="华文仿宋" w:eastAsia="仿宋_GB2312" w:cs="Times New Roman"/>
          <w:sz w:val="32"/>
          <w:szCs w:val="32"/>
        </w:rPr>
      </w:pPr>
      <w:bookmarkStart w:id="6" w:name="_Hlk502228908"/>
      <w:r>
        <w:rPr>
          <w:rFonts w:hint="eastAsia" w:ascii="仿宋_GB2312" w:hAnsi="华文仿宋" w:eastAsia="仿宋_GB2312" w:cs="Times New Roman"/>
          <w:sz w:val="32"/>
          <w:szCs w:val="32"/>
        </w:rPr>
        <w:t>5. 工作天数（天）=1台机组实际工作天数。</w:t>
      </w:r>
    </w:p>
    <w:p w14:paraId="012AB4A8">
      <w:pPr>
        <w:spacing w:line="500" w:lineRule="exact"/>
        <w:ind w:firstLine="640" w:firstLineChars="200"/>
        <w:rPr>
          <w:rFonts w:hint="eastAsia" w:ascii="仿宋_GB2312" w:hAnsi="华文仿宋" w:eastAsia="仿宋_GB2312" w:cs="Times New Roman"/>
          <w:sz w:val="32"/>
          <w:szCs w:val="32"/>
        </w:rPr>
      </w:pPr>
      <w:r>
        <w:rPr>
          <w:rFonts w:hint="eastAsia" w:ascii="仿宋_GB2312" w:hAnsi="华文仿宋" w:eastAsia="仿宋_GB2312" w:cs="Times New Roman"/>
          <w:sz w:val="32"/>
          <w:szCs w:val="32"/>
        </w:rPr>
        <w:t>6. 工作时间（小时）=1台机组实际工作小时数。</w:t>
      </w:r>
    </w:p>
    <w:p w14:paraId="5E615391">
      <w:pPr>
        <w:spacing w:line="500" w:lineRule="exact"/>
        <w:ind w:firstLine="640" w:firstLineChars="200"/>
        <w:rPr>
          <w:rFonts w:hint="eastAsia" w:ascii="仿宋_GB2312" w:hAnsi="华文仿宋" w:eastAsia="仿宋_GB2312" w:cs="Times New Roman"/>
          <w:sz w:val="32"/>
          <w:szCs w:val="32"/>
        </w:rPr>
      </w:pPr>
      <w:r>
        <w:rPr>
          <w:rFonts w:hint="eastAsia" w:ascii="仿宋_GB2312" w:hAnsi="华文仿宋" w:eastAsia="仿宋_GB2312" w:cs="Times New Roman"/>
          <w:sz w:val="32"/>
          <w:szCs w:val="32"/>
        </w:rPr>
        <w:t>7. 其他矿物掺合料:如硅灰、石灰石粉、白云石粉等。</w:t>
      </w:r>
    </w:p>
    <w:p w14:paraId="56CFC6E7">
      <w:pPr>
        <w:spacing w:line="500" w:lineRule="exact"/>
        <w:ind w:firstLine="640" w:firstLineChars="200"/>
        <w:rPr>
          <w:rFonts w:hint="eastAsia" w:ascii="仿宋_GB2312" w:hAnsi="华文仿宋" w:eastAsia="仿宋_GB2312" w:cs="Times New Roman"/>
          <w:sz w:val="32"/>
          <w:szCs w:val="32"/>
        </w:rPr>
      </w:pPr>
      <w:r>
        <w:rPr>
          <w:rFonts w:hint="eastAsia" w:ascii="仿宋_GB2312" w:hAnsi="华文仿宋" w:eastAsia="仿宋_GB2312" w:cs="Times New Roman"/>
          <w:sz w:val="32"/>
          <w:szCs w:val="32"/>
        </w:rPr>
        <w:t>8. 运输方式：铁路运输、燃油汽运、新能源汽运、其他（燃气）四种方式进行选择填写。</w:t>
      </w:r>
    </w:p>
    <w:p w14:paraId="33343ECF">
      <w:pPr>
        <w:spacing w:line="500" w:lineRule="exact"/>
        <w:ind w:firstLine="643" w:firstLineChars="200"/>
        <w:rPr>
          <w:rFonts w:hint="eastAsia" w:ascii="仿宋_GB2312" w:hAnsi="华文仿宋" w:eastAsia="仿宋_GB2312"/>
          <w:b/>
          <w:sz w:val="32"/>
          <w:szCs w:val="32"/>
        </w:rPr>
      </w:pPr>
      <w:r>
        <w:rPr>
          <w:rFonts w:hint="eastAsia" w:ascii="仿宋_GB2312" w:hAnsi="华文仿宋" w:eastAsia="仿宋_GB2312"/>
          <w:b/>
          <w:sz w:val="32"/>
          <w:szCs w:val="32"/>
        </w:rPr>
        <w:t>三、上报流程</w:t>
      </w:r>
    </w:p>
    <w:p w14:paraId="785A26AA">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1．数据上报流程：打开协会网站 → 右侧会员登录输入企业帐号、密码及验证码登录 → 左侧点击“</w:t>
      </w:r>
      <w:r>
        <w:rPr>
          <w:rFonts w:hint="eastAsia" w:ascii="仿宋_GB2312" w:hAnsi="华文仿宋" w:eastAsia="仿宋_GB2312"/>
          <w:b/>
          <w:bCs/>
          <w:sz w:val="32"/>
          <w:szCs w:val="32"/>
        </w:rPr>
        <w:t>上报产量表（NEW）”</w:t>
      </w:r>
      <w:r>
        <w:rPr>
          <w:rFonts w:hint="eastAsia" w:ascii="仿宋_GB2312" w:hAnsi="华文仿宋" w:eastAsia="仿宋_GB2312"/>
          <w:sz w:val="32"/>
          <w:szCs w:val="32"/>
        </w:rPr>
        <w:t>→ 点击页面右侧的“上报”按钮 → 进行数据填写 → 填写完成后点击“提交”→ 上报成功 → 打印纸质版报表 → 由企业负责人签字、企业盖章 → 快递到协会。</w:t>
      </w:r>
    </w:p>
    <w:p w14:paraId="2AC23CD9">
      <w:pPr>
        <w:spacing w:line="500" w:lineRule="exact"/>
        <w:ind w:firstLine="640" w:firstLineChars="200"/>
        <w:rPr>
          <w:rFonts w:hint="eastAsia" w:ascii="仿宋_GB2312" w:hAnsi="华文仿宋" w:eastAsia="仿宋_GB2312"/>
          <w:b/>
          <w:sz w:val="32"/>
          <w:szCs w:val="32"/>
        </w:rPr>
      </w:pPr>
      <w:r>
        <w:rPr>
          <w:rFonts w:hint="eastAsia" w:ascii="仿宋_GB2312" w:hAnsi="华文仿宋" w:eastAsia="仿宋_GB2312" w:cs="Times New Roman"/>
          <w:sz w:val="32"/>
          <w:szCs w:val="32"/>
        </w:rPr>
        <w:t>2．</w:t>
      </w:r>
      <w:r>
        <w:rPr>
          <w:rFonts w:hint="eastAsia" w:ascii="仿宋_GB2312" w:hAnsi="华文仿宋" w:eastAsia="仿宋_GB2312"/>
          <w:sz w:val="32"/>
          <w:szCs w:val="32"/>
        </w:rPr>
        <w:t>填写产量表数据及内容时，可保存为草稿；当保存为草稿后，需点击页面左侧的“</w:t>
      </w:r>
      <w:r>
        <w:rPr>
          <w:rFonts w:hint="eastAsia" w:ascii="仿宋_GB2312" w:hAnsi="华文仿宋" w:eastAsia="仿宋_GB2312"/>
          <w:b/>
          <w:sz w:val="32"/>
          <w:szCs w:val="32"/>
        </w:rPr>
        <w:t>上报产量表（NEW）</w:t>
      </w:r>
      <w:r>
        <w:rPr>
          <w:rFonts w:hint="eastAsia" w:ascii="仿宋_GB2312" w:hAnsi="华文仿宋" w:eastAsia="仿宋_GB2312"/>
          <w:sz w:val="32"/>
          <w:szCs w:val="32"/>
        </w:rPr>
        <w:t>”，在打开的页面右侧“报告状态”选择“草稿”进行查询，在查询结果中找到保存为草稿的信息，点击“修改”按钮，然后在修改页面填写完整再点击“提交”。</w:t>
      </w:r>
    </w:p>
    <w:bookmarkEnd w:id="6"/>
    <w:p w14:paraId="71E04936">
      <w:pPr>
        <w:spacing w:line="500" w:lineRule="exact"/>
        <w:ind w:firstLine="643" w:firstLineChars="200"/>
        <w:rPr>
          <w:rFonts w:hint="eastAsia" w:ascii="仿宋_GB2312" w:hAnsi="华文仿宋" w:eastAsia="仿宋_GB2312"/>
          <w:b/>
          <w:bCs/>
          <w:sz w:val="32"/>
          <w:szCs w:val="32"/>
        </w:rPr>
      </w:pPr>
      <w:r>
        <w:rPr>
          <w:rFonts w:hint="eastAsia" w:ascii="仿宋_GB2312" w:hAnsi="华文仿宋" w:eastAsia="仿宋_GB2312"/>
          <w:b/>
          <w:bCs/>
          <w:sz w:val="32"/>
          <w:szCs w:val="32"/>
        </w:rPr>
        <w:t>四、注意事项</w:t>
      </w:r>
    </w:p>
    <w:p w14:paraId="70E62E65">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1．凡是有湿拌砂浆产量的单位务必根据企业的实际生产情况据实填报。</w:t>
      </w:r>
    </w:p>
    <w:p w14:paraId="40B9FA56">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2．年度（四季度）报表中企业资产总额和年度营业收入总额为必填项。</w:t>
      </w:r>
    </w:p>
    <w:bookmarkEnd w:id="0"/>
    <w:p w14:paraId="53F77206">
      <w:pPr>
        <w:spacing w:line="500" w:lineRule="exact"/>
        <w:ind w:firstLine="640" w:firstLineChars="200"/>
        <w:rPr>
          <w:rFonts w:hint="eastAsia" w:ascii="仿宋_GB2312" w:hAnsi="华文仿宋" w:eastAsia="仿宋_GB2312"/>
          <w:sz w:val="32"/>
          <w:szCs w:val="32"/>
        </w:rPr>
      </w:pPr>
    </w:p>
    <w:p w14:paraId="29EB9B04">
      <w:pPr>
        <w:spacing w:line="500" w:lineRule="exact"/>
        <w:ind w:firstLine="640" w:firstLineChars="200"/>
        <w:rPr>
          <w:rFonts w:hint="eastAsia" w:ascii="仿宋_GB2312" w:hAnsi="华文仿宋" w:eastAsia="仿宋_GB2312"/>
          <w:sz w:val="32"/>
          <w:szCs w:val="32"/>
        </w:rPr>
      </w:pPr>
    </w:p>
    <w:p w14:paraId="4673C9F1">
      <w:pPr>
        <w:spacing w:line="500" w:lineRule="exact"/>
        <w:ind w:firstLine="640" w:firstLineChars="200"/>
        <w:rPr>
          <w:rFonts w:hint="eastAsia" w:ascii="仿宋_GB2312" w:hAnsi="华文仿宋" w:eastAsia="仿宋_GB2312"/>
          <w:sz w:val="32"/>
          <w:szCs w:val="32"/>
        </w:rPr>
      </w:pPr>
    </w:p>
    <w:p w14:paraId="7BDA500A">
      <w:pPr>
        <w:spacing w:line="500" w:lineRule="exact"/>
        <w:ind w:firstLine="640" w:firstLineChars="200"/>
        <w:rPr>
          <w:rFonts w:hint="eastAsia" w:ascii="仿宋_GB2312" w:hAnsi="华文仿宋" w:eastAsia="仿宋_GB2312"/>
          <w:sz w:val="32"/>
          <w:szCs w:val="32"/>
        </w:rPr>
      </w:pPr>
    </w:p>
    <w:p w14:paraId="674554BF">
      <w:pPr>
        <w:spacing w:line="500" w:lineRule="exact"/>
        <w:ind w:firstLine="640" w:firstLineChars="200"/>
        <w:rPr>
          <w:rFonts w:hint="eastAsia" w:ascii="仿宋_GB2312" w:hAnsi="华文仿宋" w:eastAsia="仿宋_GB2312"/>
          <w:sz w:val="32"/>
          <w:szCs w:val="32"/>
        </w:rPr>
      </w:pPr>
    </w:p>
    <w:p w14:paraId="7CEC1008">
      <w:pPr>
        <w:spacing w:line="500" w:lineRule="exact"/>
        <w:ind w:firstLine="640" w:firstLineChars="200"/>
        <w:rPr>
          <w:rFonts w:hint="eastAsia" w:ascii="仿宋_GB2312" w:hAnsi="华文仿宋" w:eastAsia="仿宋_GB2312"/>
          <w:sz w:val="32"/>
          <w:szCs w:val="32"/>
        </w:rPr>
      </w:pPr>
    </w:p>
    <w:p w14:paraId="449DA52D">
      <w:pPr>
        <w:spacing w:line="500" w:lineRule="exact"/>
        <w:ind w:firstLine="640" w:firstLineChars="200"/>
        <w:rPr>
          <w:rFonts w:hint="eastAsia" w:ascii="仿宋_GB2312" w:hAnsi="华文仿宋" w:eastAsia="仿宋_GB2312"/>
          <w:sz w:val="32"/>
          <w:szCs w:val="32"/>
        </w:rPr>
      </w:pPr>
    </w:p>
    <w:p w14:paraId="30CCA6DD">
      <w:pPr>
        <w:spacing w:line="500" w:lineRule="exact"/>
        <w:ind w:firstLine="640" w:firstLineChars="200"/>
        <w:rPr>
          <w:rFonts w:hint="eastAsia" w:ascii="仿宋_GB2312" w:hAnsi="华文仿宋" w:eastAsia="仿宋_GB2312"/>
          <w:sz w:val="32"/>
          <w:szCs w:val="32"/>
        </w:rPr>
      </w:pPr>
    </w:p>
    <w:p w14:paraId="76217C78">
      <w:pPr>
        <w:spacing w:line="500" w:lineRule="exact"/>
        <w:ind w:firstLine="640" w:firstLineChars="200"/>
        <w:rPr>
          <w:rFonts w:hint="eastAsia" w:ascii="仿宋_GB2312" w:hAnsi="华文仿宋" w:eastAsia="仿宋_GB2312"/>
          <w:sz w:val="32"/>
          <w:szCs w:val="32"/>
        </w:rPr>
      </w:pPr>
    </w:p>
    <w:p w14:paraId="5B644E6A">
      <w:pPr>
        <w:spacing w:line="500" w:lineRule="exact"/>
        <w:rPr>
          <w:rFonts w:hint="eastAsia" w:ascii="仿宋_GB2312" w:hAnsi="华文仿宋" w:eastAsia="仿宋_GB2312"/>
          <w:sz w:val="32"/>
          <w:szCs w:val="32"/>
        </w:rPr>
      </w:pPr>
    </w:p>
    <w:bookmarkEnd w:id="1"/>
    <w:p w14:paraId="08D4294C">
      <w:pPr>
        <w:spacing w:line="480" w:lineRule="auto"/>
        <w:rPr>
          <w:rFonts w:hint="eastAsia" w:ascii="黑体" w:hAnsi="黑体" w:eastAsia="黑体"/>
          <w:b/>
          <w:sz w:val="32"/>
          <w:szCs w:val="32"/>
        </w:rPr>
      </w:pPr>
      <w:r>
        <w:rPr>
          <w:rFonts w:hint="eastAsia" w:ascii="黑体" w:hAnsi="黑体" w:eastAsia="黑体"/>
          <w:b/>
          <w:sz w:val="32"/>
          <w:szCs w:val="32"/>
        </w:rPr>
        <w:t>附件二：</w:t>
      </w:r>
    </w:p>
    <w:p w14:paraId="259CEB01">
      <w:pPr>
        <w:spacing w:line="480" w:lineRule="auto"/>
        <w:ind w:left="2692" w:hanging="2692" w:hangingChars="745"/>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《北京市砂石使用量情况统计报表》</w:t>
      </w:r>
    </w:p>
    <w:p w14:paraId="25C1A2DB">
      <w:pPr>
        <w:spacing w:line="480" w:lineRule="auto"/>
        <w:ind w:left="2692" w:hanging="2692" w:hangingChars="745"/>
        <w:jc w:val="center"/>
        <w:rPr>
          <w:rFonts w:hint="eastAsia" w:ascii="方正小标宋简体" w:hAnsi="华文中宋" w:eastAsia="方正小标宋简体"/>
          <w:b/>
          <w:sz w:val="36"/>
          <w:szCs w:val="36"/>
        </w:rPr>
      </w:pPr>
      <w:r>
        <w:rPr>
          <w:rFonts w:hint="eastAsia" w:ascii="方正小标宋简体" w:hAnsi="华文中宋" w:eastAsia="方正小标宋简体"/>
          <w:b/>
          <w:sz w:val="36"/>
          <w:szCs w:val="36"/>
        </w:rPr>
        <w:t>填报说明</w:t>
      </w:r>
    </w:p>
    <w:p w14:paraId="1D04AC95">
      <w:pPr>
        <w:spacing w:line="500" w:lineRule="exact"/>
        <w:ind w:left="640"/>
        <w:rPr>
          <w:rFonts w:hint="eastAsia" w:ascii="仿宋_GB2312" w:hAnsi="仿宋" w:eastAsia="仿宋_GB2312"/>
          <w:sz w:val="32"/>
          <w:szCs w:val="32"/>
        </w:rPr>
      </w:pPr>
      <w:r>
        <w:rPr>
          <w:rFonts w:hint="eastAsia" w:ascii="仿宋_GB2312" w:hAnsi="华文仿宋" w:eastAsia="仿宋_GB2312"/>
          <w:sz w:val="32"/>
          <w:szCs w:val="32"/>
        </w:rPr>
        <w:t>1、报送单位：北京</w:t>
      </w:r>
      <w:r>
        <w:rPr>
          <w:rFonts w:hint="eastAsia" w:ascii="仿宋_GB2312" w:hAnsi="仿宋" w:eastAsia="仿宋_GB2312"/>
          <w:sz w:val="32"/>
          <w:szCs w:val="32"/>
        </w:rPr>
        <w:t>市辖区内具有预拌混凝土专业承包资质的企业（站点）</w:t>
      </w:r>
    </w:p>
    <w:p w14:paraId="78027391">
      <w:pPr>
        <w:spacing w:line="500" w:lineRule="exact"/>
        <w:ind w:firstLine="612"/>
        <w:rPr>
          <w:rFonts w:hint="eastAsia" w:ascii="仿宋_GB2312" w:hAnsi="华文仿宋" w:eastAsia="仿宋_GB2312"/>
          <w:sz w:val="32"/>
          <w:szCs w:val="32"/>
        </w:rPr>
      </w:pPr>
      <w:r>
        <w:rPr>
          <w:rFonts w:hint="eastAsia" w:ascii="仿宋_GB2312" w:hAnsi="华文仿宋" w:eastAsia="仿宋_GB2312"/>
          <w:sz w:val="32"/>
          <w:szCs w:val="32"/>
        </w:rPr>
        <w:t>2、报送时间及方式：应于每季度初的10日前(逢节假日顺延)，电子版报表直接登录北京市混凝土协会官方网站www.bjjshnt.org进行填报。</w:t>
      </w:r>
    </w:p>
    <w:p w14:paraId="111FDF93">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3、分产地列报：本表要求分砂石产地列报，如 xx省（市）xx（县）。</w:t>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p>
    <w:p w14:paraId="6BEDF789">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4、砂石种类：砂分天然砂、机制砂两类。石分卵石、碎石两类。</w:t>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p>
    <w:p w14:paraId="5018A7D0">
      <w:pPr>
        <w:pStyle w:val="7"/>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5、分别点击添加按钮添加骨料，</w:t>
      </w:r>
      <w:r>
        <w:rPr>
          <w:rFonts w:hint="eastAsia" w:ascii="仿宋_GB2312" w:hAnsi="华文仿宋" w:eastAsia="仿宋_GB2312" w:cstheme="minorBidi"/>
          <w:kern w:val="2"/>
          <w:sz w:val="32"/>
          <w:szCs w:val="32"/>
        </w:rPr>
        <w:t>产地点击下拉列表选择如果没有请联系协会管理人员</w:t>
      </w:r>
      <w:r>
        <w:rPr>
          <w:rFonts w:hint="eastAsia" w:ascii="仿宋_GB2312" w:hAnsi="华文仿宋" w:eastAsia="仿宋_GB2312"/>
          <w:sz w:val="32"/>
          <w:szCs w:val="32"/>
        </w:rPr>
        <w:t>，输入完数量选择完类型点击继续添加或者确定。</w:t>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p>
    <w:p w14:paraId="7FF7ABF3">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6、选中行可以进行删除和编辑。提交和保存草稿前务必各类型点击确定确认汇总数据是否正确。</w:t>
      </w:r>
    </w:p>
    <w:p w14:paraId="6A954EBB">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7、建筑垃圾再生骨料：指将建筑垃圾经过初步清理，把砖石、水泥混凝土块经过破碎设备破碎成骨料，经过振动筛筛分分级，除去杂质，形成一定粒径要求的建材原料。</w:t>
      </w:r>
    </w:p>
    <w:p w14:paraId="521A32A3">
      <w:pPr>
        <w:spacing w:line="500" w:lineRule="exact"/>
        <w:rPr>
          <w:rFonts w:hint="eastAsia" w:ascii="仿宋_GB2312" w:hAnsi="华文仿宋" w:eastAsia="仿宋_GB2312"/>
          <w:sz w:val="32"/>
          <w:szCs w:val="32"/>
        </w:rPr>
      </w:pPr>
      <w:r>
        <w:rPr>
          <w:rFonts w:hint="eastAsia" w:ascii="仿宋_GB2312" w:hAnsi="华文仿宋" w:eastAsia="仿宋_GB2312"/>
          <w:sz w:val="32"/>
          <w:szCs w:val="32"/>
        </w:rPr>
        <w:tab/>
      </w:r>
      <w:r>
        <w:rPr>
          <w:rFonts w:hint="eastAsia" w:ascii="仿宋_GB2312" w:hAnsi="华文仿宋" w:eastAsia="仿宋_GB2312"/>
          <w:sz w:val="32"/>
          <w:szCs w:val="32"/>
        </w:rPr>
        <w:t xml:space="preserve"> 8、所填数据均为截止季度末的累计数量，计量单位为万吨。</w:t>
      </w:r>
    </w:p>
    <w:p w14:paraId="7490EEB3">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9、统计范围为北京市所辖区域内所有预拌混凝土生产企业（站点）的相关数据信息。</w:t>
      </w:r>
      <w:r>
        <w:rPr>
          <w:rFonts w:hint="eastAsia" w:ascii="仿宋_GB2312" w:hAnsi="华文仿宋" w:eastAsia="仿宋_GB2312"/>
          <w:sz w:val="32"/>
          <w:szCs w:val="32"/>
        </w:rPr>
        <w:tab/>
      </w:r>
    </w:p>
    <w:p w14:paraId="29F50AAC">
      <w:pPr>
        <w:spacing w:line="500" w:lineRule="exact"/>
        <w:rPr>
          <w:rFonts w:hint="eastAsia" w:ascii="仿宋_GB2312" w:hAnsi="华文仿宋" w:eastAsia="仿宋_GB2312"/>
          <w:sz w:val="32"/>
          <w:szCs w:val="32"/>
        </w:rPr>
      </w:pPr>
      <w:r>
        <w:rPr>
          <w:rFonts w:hint="eastAsia" w:ascii="仿宋_GB2312" w:hAnsi="华文仿宋" w:eastAsia="仿宋_GB2312"/>
          <w:sz w:val="32"/>
          <w:szCs w:val="32"/>
        </w:rPr>
        <w:tab/>
      </w:r>
      <w:r>
        <w:rPr>
          <w:rFonts w:hint="eastAsia" w:ascii="仿宋_GB2312" w:hAnsi="华文仿宋" w:eastAsia="仿宋_GB2312"/>
          <w:sz w:val="32"/>
          <w:szCs w:val="32"/>
        </w:rPr>
        <w:t xml:space="preserve"> </w:t>
      </w:r>
      <w:r>
        <w:rPr>
          <w:rFonts w:hint="eastAsia" w:ascii="仿宋_GB2312" w:hAnsi="华文仿宋" w:eastAsia="仿宋_GB2312"/>
          <w:b/>
          <w:bCs/>
          <w:sz w:val="32"/>
          <w:szCs w:val="32"/>
        </w:rPr>
        <w:t>10、本表指标数据均为期末数量，即：4月10日前填报1-3月数据、7月10日前填报1-6月数据、10月10日前填报1-9 月数据、次年1月10日前填报1-12月数据。</w:t>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p>
    <w:p w14:paraId="573598C0">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11、数据上报流程：打开协会网站 → 右侧会员登录输入企业帐号、密码及验证码登录 → 左侧点击</w:t>
      </w:r>
      <w:r>
        <w:rPr>
          <w:rFonts w:hint="eastAsia" w:ascii="仿宋_GB2312" w:hAnsi="华文仿宋" w:eastAsia="仿宋_GB2312"/>
          <w:b/>
          <w:bCs/>
          <w:sz w:val="32"/>
          <w:szCs w:val="32"/>
        </w:rPr>
        <w:t>“上报砂使用量表”</w:t>
      </w:r>
      <w:r>
        <w:rPr>
          <w:rFonts w:hint="eastAsia" w:ascii="仿宋_GB2312" w:hAnsi="华文仿宋" w:eastAsia="仿宋_GB2312"/>
          <w:sz w:val="32"/>
          <w:szCs w:val="32"/>
        </w:rPr>
        <w:t>→ 点击页面右侧的“上报”按钮 → 进行数据填写 → 填写完成后点击“提交”→ 上报成功 → 打印纸质版报表 → 由企业负责人签字、企业盖章 → 快递到协会。</w:t>
      </w:r>
    </w:p>
    <w:p w14:paraId="44A9E754">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12、进行网上申报后；纸质版报表请务必加盖单位公章，并由单位负责人签字后，报送北京市混凝土协会(快递即可)。</w:t>
      </w:r>
      <w:r>
        <w:rPr>
          <w:rFonts w:hint="eastAsia" w:ascii="仿宋_GB2312" w:hAnsi="华文仿宋" w:eastAsia="仿宋_GB2312"/>
          <w:sz w:val="32"/>
          <w:szCs w:val="32"/>
        </w:rPr>
        <w:tab/>
      </w:r>
      <w:r>
        <w:rPr>
          <w:rFonts w:hint="eastAsia" w:ascii="仿宋_GB2312" w:hAnsi="华文仿宋" w:eastAsia="仿宋_GB2312"/>
          <w:sz w:val="32"/>
          <w:szCs w:val="32"/>
        </w:rPr>
        <w:t xml:space="preserve"> 地址：北京市石景山区金顶北路69号金隅科技大厦一区A3门一层  邮编：100041</w:t>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r>
        <w:rPr>
          <w:rFonts w:hint="eastAsia" w:ascii="仿宋_GB2312" w:hAnsi="华文仿宋" w:eastAsia="仿宋_GB2312"/>
          <w:sz w:val="32"/>
          <w:szCs w:val="32"/>
        </w:rPr>
        <w:tab/>
      </w:r>
    </w:p>
    <w:p w14:paraId="385DF3AC">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 xml:space="preserve">联系人：李倩丽    </w:t>
      </w:r>
    </w:p>
    <w:p w14:paraId="2EBF31E5">
      <w:pPr>
        <w:spacing w:line="500" w:lineRule="exact"/>
        <w:ind w:firstLine="640" w:firstLineChars="200"/>
        <w:rPr>
          <w:rFonts w:hint="eastAsia" w:ascii="仿宋_GB2312" w:hAnsi="华文仿宋" w:eastAsia="仿宋_GB2312"/>
          <w:sz w:val="32"/>
          <w:szCs w:val="32"/>
        </w:rPr>
      </w:pPr>
      <w:r>
        <w:rPr>
          <w:rFonts w:hint="eastAsia" w:ascii="仿宋_GB2312" w:hAnsi="华文仿宋" w:eastAsia="仿宋_GB2312"/>
          <w:sz w:val="32"/>
          <w:szCs w:val="32"/>
        </w:rPr>
        <w:t xml:space="preserve">电话：010-63978522   </w:t>
      </w:r>
    </w:p>
    <w:p w14:paraId="506C8782">
      <w:pPr>
        <w:spacing w:line="500" w:lineRule="exact"/>
        <w:ind w:firstLine="640" w:firstLineChars="200"/>
        <w:rPr>
          <w:rFonts w:hint="eastAsia" w:ascii="华文仿宋" w:hAnsi="华文仿宋" w:eastAsia="华文仿宋"/>
          <w:sz w:val="32"/>
          <w:szCs w:val="32"/>
        </w:rPr>
      </w:pPr>
      <w:r>
        <w:rPr>
          <w:rFonts w:hint="eastAsia" w:ascii="仿宋_GB2312" w:hAnsi="华文仿宋" w:eastAsia="仿宋_GB2312"/>
          <w:sz w:val="32"/>
          <w:szCs w:val="32"/>
        </w:rPr>
        <w:t>电子邮箱：bjshntxhscb@163.com</w:t>
      </w:r>
      <w:r>
        <w:rPr>
          <w:rFonts w:hint="eastAsia" w:ascii="仿宋_GB2312" w:hAnsi="华文仿宋" w:eastAsia="仿宋_GB2312"/>
          <w:sz w:val="32"/>
          <w:szCs w:val="32"/>
        </w:rPr>
        <w:tab/>
      </w:r>
    </w:p>
    <w:p w14:paraId="4F2BE09A">
      <w:pPr>
        <w:spacing w:line="600" w:lineRule="exact"/>
        <w:ind w:firstLine="640" w:firstLineChars="200"/>
        <w:rPr>
          <w:rFonts w:hint="eastAsia" w:ascii="华文仿宋" w:hAnsi="华文仿宋" w:eastAsia="华文仿宋"/>
          <w:sz w:val="32"/>
          <w:szCs w:val="32"/>
        </w:rPr>
      </w:pPr>
    </w:p>
    <w:sectPr>
      <w:footerReference r:id="rId3" w:type="default"/>
      <w:pgSz w:w="11906" w:h="16838"/>
      <w:pgMar w:top="1440" w:right="1644" w:bottom="1440"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KSOFBFDA8B98">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065051"/>
    </w:sdtPr>
    <w:sdtContent>
      <w:p w14:paraId="30D7B996">
        <w:pPr>
          <w:pStyle w:val="5"/>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5EF7715A">
    <w:pPr>
      <w:pStyle w:val="5"/>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3F"/>
    <w:rsid w:val="00002517"/>
    <w:rsid w:val="00022C58"/>
    <w:rsid w:val="00035A8A"/>
    <w:rsid w:val="00054595"/>
    <w:rsid w:val="000A07FC"/>
    <w:rsid w:val="000B1A1E"/>
    <w:rsid w:val="000B2953"/>
    <w:rsid w:val="000C0850"/>
    <w:rsid w:val="000C536A"/>
    <w:rsid w:val="000C57EC"/>
    <w:rsid w:val="000E5184"/>
    <w:rsid w:val="000F532B"/>
    <w:rsid w:val="00105FAC"/>
    <w:rsid w:val="00126986"/>
    <w:rsid w:val="00127D1C"/>
    <w:rsid w:val="00130317"/>
    <w:rsid w:val="00151550"/>
    <w:rsid w:val="00157FC5"/>
    <w:rsid w:val="00164C44"/>
    <w:rsid w:val="00165382"/>
    <w:rsid w:val="00166BCE"/>
    <w:rsid w:val="00172ADA"/>
    <w:rsid w:val="0019091D"/>
    <w:rsid w:val="001D11FD"/>
    <w:rsid w:val="001D4801"/>
    <w:rsid w:val="001E0E4C"/>
    <w:rsid w:val="00200E25"/>
    <w:rsid w:val="002127CF"/>
    <w:rsid w:val="002144C8"/>
    <w:rsid w:val="00217D36"/>
    <w:rsid w:val="00221BE1"/>
    <w:rsid w:val="002303A0"/>
    <w:rsid w:val="0023429D"/>
    <w:rsid w:val="0024577A"/>
    <w:rsid w:val="00261B96"/>
    <w:rsid w:val="00265B41"/>
    <w:rsid w:val="00294D54"/>
    <w:rsid w:val="002D5E5B"/>
    <w:rsid w:val="002E0A90"/>
    <w:rsid w:val="003107F3"/>
    <w:rsid w:val="00347212"/>
    <w:rsid w:val="00350A9B"/>
    <w:rsid w:val="0038123E"/>
    <w:rsid w:val="00393E8A"/>
    <w:rsid w:val="003C3A3F"/>
    <w:rsid w:val="003E4381"/>
    <w:rsid w:val="003F0B46"/>
    <w:rsid w:val="00401ECC"/>
    <w:rsid w:val="00441535"/>
    <w:rsid w:val="00462EAB"/>
    <w:rsid w:val="0046470B"/>
    <w:rsid w:val="004816B0"/>
    <w:rsid w:val="0048303E"/>
    <w:rsid w:val="004B1722"/>
    <w:rsid w:val="004C61A6"/>
    <w:rsid w:val="004C76E8"/>
    <w:rsid w:val="004E44DA"/>
    <w:rsid w:val="00531E25"/>
    <w:rsid w:val="00535F71"/>
    <w:rsid w:val="005A591F"/>
    <w:rsid w:val="005B7E58"/>
    <w:rsid w:val="005D4CF4"/>
    <w:rsid w:val="005F1263"/>
    <w:rsid w:val="005F690C"/>
    <w:rsid w:val="006250CD"/>
    <w:rsid w:val="00660A34"/>
    <w:rsid w:val="00671135"/>
    <w:rsid w:val="00685B02"/>
    <w:rsid w:val="006868DF"/>
    <w:rsid w:val="006974D9"/>
    <w:rsid w:val="006D78DF"/>
    <w:rsid w:val="00711582"/>
    <w:rsid w:val="00734D71"/>
    <w:rsid w:val="00751F74"/>
    <w:rsid w:val="00752564"/>
    <w:rsid w:val="00791B5F"/>
    <w:rsid w:val="007E0C09"/>
    <w:rsid w:val="007E36BC"/>
    <w:rsid w:val="00803A52"/>
    <w:rsid w:val="0081106E"/>
    <w:rsid w:val="008379DD"/>
    <w:rsid w:val="008609DB"/>
    <w:rsid w:val="00891408"/>
    <w:rsid w:val="008A182D"/>
    <w:rsid w:val="008A6833"/>
    <w:rsid w:val="008B34EF"/>
    <w:rsid w:val="00924DF3"/>
    <w:rsid w:val="00961F17"/>
    <w:rsid w:val="00986171"/>
    <w:rsid w:val="009B139E"/>
    <w:rsid w:val="009B6149"/>
    <w:rsid w:val="009B68B8"/>
    <w:rsid w:val="009D4C44"/>
    <w:rsid w:val="009E18C9"/>
    <w:rsid w:val="009E6645"/>
    <w:rsid w:val="00A02B73"/>
    <w:rsid w:val="00A03AED"/>
    <w:rsid w:val="00A078F3"/>
    <w:rsid w:val="00A30950"/>
    <w:rsid w:val="00A328D9"/>
    <w:rsid w:val="00A4060F"/>
    <w:rsid w:val="00A6272F"/>
    <w:rsid w:val="00A64D0A"/>
    <w:rsid w:val="00A935FC"/>
    <w:rsid w:val="00AD51BE"/>
    <w:rsid w:val="00B05513"/>
    <w:rsid w:val="00B34425"/>
    <w:rsid w:val="00B36F24"/>
    <w:rsid w:val="00B55560"/>
    <w:rsid w:val="00B621E4"/>
    <w:rsid w:val="00B701E1"/>
    <w:rsid w:val="00B82D76"/>
    <w:rsid w:val="00B853D7"/>
    <w:rsid w:val="00BA1B7A"/>
    <w:rsid w:val="00BB4525"/>
    <w:rsid w:val="00BD721A"/>
    <w:rsid w:val="00C020CE"/>
    <w:rsid w:val="00C505DE"/>
    <w:rsid w:val="00C56C9D"/>
    <w:rsid w:val="00C57B9E"/>
    <w:rsid w:val="00C8485A"/>
    <w:rsid w:val="00C86DB6"/>
    <w:rsid w:val="00CE1128"/>
    <w:rsid w:val="00CF6076"/>
    <w:rsid w:val="00D02205"/>
    <w:rsid w:val="00D107CA"/>
    <w:rsid w:val="00D1701D"/>
    <w:rsid w:val="00D20244"/>
    <w:rsid w:val="00D313F4"/>
    <w:rsid w:val="00D53B0B"/>
    <w:rsid w:val="00D57758"/>
    <w:rsid w:val="00D60DD9"/>
    <w:rsid w:val="00D6502C"/>
    <w:rsid w:val="00D7797E"/>
    <w:rsid w:val="00D8237E"/>
    <w:rsid w:val="00D96E85"/>
    <w:rsid w:val="00DB51BA"/>
    <w:rsid w:val="00DC292D"/>
    <w:rsid w:val="00DC7F9C"/>
    <w:rsid w:val="00DF3DFA"/>
    <w:rsid w:val="00E0187E"/>
    <w:rsid w:val="00E2619F"/>
    <w:rsid w:val="00E26E76"/>
    <w:rsid w:val="00E31C82"/>
    <w:rsid w:val="00E346A9"/>
    <w:rsid w:val="00E40AD2"/>
    <w:rsid w:val="00E56E95"/>
    <w:rsid w:val="00E57E90"/>
    <w:rsid w:val="00EB2945"/>
    <w:rsid w:val="00EC26D4"/>
    <w:rsid w:val="00ED4DEA"/>
    <w:rsid w:val="00F16AB1"/>
    <w:rsid w:val="00F31ABA"/>
    <w:rsid w:val="00F34BA6"/>
    <w:rsid w:val="00F757DD"/>
    <w:rsid w:val="00FC226B"/>
    <w:rsid w:val="00FE60BE"/>
    <w:rsid w:val="00FF461F"/>
    <w:rsid w:val="00FF525A"/>
    <w:rsid w:val="028A775E"/>
    <w:rsid w:val="03E3343A"/>
    <w:rsid w:val="04671A3E"/>
    <w:rsid w:val="048D3080"/>
    <w:rsid w:val="076D52DE"/>
    <w:rsid w:val="097952CB"/>
    <w:rsid w:val="09997437"/>
    <w:rsid w:val="0C551F5E"/>
    <w:rsid w:val="0C7742C5"/>
    <w:rsid w:val="0DA3022D"/>
    <w:rsid w:val="0E4F3497"/>
    <w:rsid w:val="0EF6138B"/>
    <w:rsid w:val="100C0B29"/>
    <w:rsid w:val="10E74987"/>
    <w:rsid w:val="111D0B9E"/>
    <w:rsid w:val="12437FD6"/>
    <w:rsid w:val="13FC0097"/>
    <w:rsid w:val="14B00EE2"/>
    <w:rsid w:val="14E77513"/>
    <w:rsid w:val="15732A62"/>
    <w:rsid w:val="1693363B"/>
    <w:rsid w:val="169B742E"/>
    <w:rsid w:val="180B6E83"/>
    <w:rsid w:val="189748F0"/>
    <w:rsid w:val="18D8063F"/>
    <w:rsid w:val="18E54627"/>
    <w:rsid w:val="1C721C1F"/>
    <w:rsid w:val="1D514DE3"/>
    <w:rsid w:val="1D7D3DE8"/>
    <w:rsid w:val="1E7119A5"/>
    <w:rsid w:val="1F7D409A"/>
    <w:rsid w:val="1FE10EEA"/>
    <w:rsid w:val="22A411B5"/>
    <w:rsid w:val="2306175C"/>
    <w:rsid w:val="232B6F5C"/>
    <w:rsid w:val="2362071D"/>
    <w:rsid w:val="23D76555"/>
    <w:rsid w:val="244A3D3B"/>
    <w:rsid w:val="24A87067"/>
    <w:rsid w:val="2747476E"/>
    <w:rsid w:val="27501966"/>
    <w:rsid w:val="2896523D"/>
    <w:rsid w:val="2A6F7F55"/>
    <w:rsid w:val="2AA05C60"/>
    <w:rsid w:val="2B5242CB"/>
    <w:rsid w:val="2DD344F0"/>
    <w:rsid w:val="2E2E14BB"/>
    <w:rsid w:val="2EEA2A2E"/>
    <w:rsid w:val="2F353D26"/>
    <w:rsid w:val="2FC95075"/>
    <w:rsid w:val="31A2734F"/>
    <w:rsid w:val="31FA1E16"/>
    <w:rsid w:val="3257740D"/>
    <w:rsid w:val="34B034ED"/>
    <w:rsid w:val="34B84D85"/>
    <w:rsid w:val="350C3E63"/>
    <w:rsid w:val="35D7580B"/>
    <w:rsid w:val="35DF0A2C"/>
    <w:rsid w:val="3A9724B1"/>
    <w:rsid w:val="3BAB4787"/>
    <w:rsid w:val="3CCD7975"/>
    <w:rsid w:val="3CDE324B"/>
    <w:rsid w:val="3CF946C4"/>
    <w:rsid w:val="3DA84F43"/>
    <w:rsid w:val="3E32019D"/>
    <w:rsid w:val="3E406597"/>
    <w:rsid w:val="3E934209"/>
    <w:rsid w:val="3F1F5D87"/>
    <w:rsid w:val="3F2F53F0"/>
    <w:rsid w:val="403245C3"/>
    <w:rsid w:val="405B6079"/>
    <w:rsid w:val="40F13F3A"/>
    <w:rsid w:val="41001BA2"/>
    <w:rsid w:val="414E60F6"/>
    <w:rsid w:val="434A1EE4"/>
    <w:rsid w:val="43FC5CA6"/>
    <w:rsid w:val="441A4818"/>
    <w:rsid w:val="45EF2F17"/>
    <w:rsid w:val="468E4221"/>
    <w:rsid w:val="474F7EB6"/>
    <w:rsid w:val="48911834"/>
    <w:rsid w:val="49C234A6"/>
    <w:rsid w:val="4A80630A"/>
    <w:rsid w:val="4B0A018D"/>
    <w:rsid w:val="4C0261B0"/>
    <w:rsid w:val="4C2377F1"/>
    <w:rsid w:val="4CCE6633"/>
    <w:rsid w:val="4D993D11"/>
    <w:rsid w:val="4DAF0ED6"/>
    <w:rsid w:val="4F280FF7"/>
    <w:rsid w:val="4FBF4D3F"/>
    <w:rsid w:val="503F1BA9"/>
    <w:rsid w:val="50A329B0"/>
    <w:rsid w:val="51A46A4D"/>
    <w:rsid w:val="52871C1A"/>
    <w:rsid w:val="548E757E"/>
    <w:rsid w:val="55E37265"/>
    <w:rsid w:val="56ED38C5"/>
    <w:rsid w:val="579D2D85"/>
    <w:rsid w:val="585D79F7"/>
    <w:rsid w:val="58C77E86"/>
    <w:rsid w:val="5A3A0A0D"/>
    <w:rsid w:val="5A984D10"/>
    <w:rsid w:val="61B25C45"/>
    <w:rsid w:val="62105979"/>
    <w:rsid w:val="62F05C75"/>
    <w:rsid w:val="63427E92"/>
    <w:rsid w:val="63475035"/>
    <w:rsid w:val="64BB5F88"/>
    <w:rsid w:val="65192770"/>
    <w:rsid w:val="6559656B"/>
    <w:rsid w:val="659161D5"/>
    <w:rsid w:val="66F576DA"/>
    <w:rsid w:val="66F66235"/>
    <w:rsid w:val="67C44ACE"/>
    <w:rsid w:val="686C0B12"/>
    <w:rsid w:val="6A5F789E"/>
    <w:rsid w:val="6A732279"/>
    <w:rsid w:val="6BFE3742"/>
    <w:rsid w:val="6D0C3915"/>
    <w:rsid w:val="6E8277B0"/>
    <w:rsid w:val="6E8343F3"/>
    <w:rsid w:val="6EC827EF"/>
    <w:rsid w:val="6FE605AB"/>
    <w:rsid w:val="6FFF11BF"/>
    <w:rsid w:val="71383036"/>
    <w:rsid w:val="72703912"/>
    <w:rsid w:val="731C3EF5"/>
    <w:rsid w:val="73B64E9D"/>
    <w:rsid w:val="74E430A7"/>
    <w:rsid w:val="759D3F97"/>
    <w:rsid w:val="75ED52EE"/>
    <w:rsid w:val="75FB6342"/>
    <w:rsid w:val="768A65CB"/>
    <w:rsid w:val="783B3DBC"/>
    <w:rsid w:val="78D03E40"/>
    <w:rsid w:val="79A94CF0"/>
    <w:rsid w:val="7A9A527E"/>
    <w:rsid w:val="7ADB05EB"/>
    <w:rsid w:val="7C060453"/>
    <w:rsid w:val="7F510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unhideWhenUsed/>
    <w:qFormat/>
    <w:uiPriority w:val="99"/>
    <w:rPr>
      <w:color w:val="0563C1" w:themeColor="hyperlink"/>
      <w:u w:val="single"/>
    </w:rPr>
  </w:style>
  <w:style w:type="character" w:customStyle="1" w:styleId="13">
    <w:name w:val="标题 1 字符"/>
    <w:basedOn w:val="10"/>
    <w:link w:val="2"/>
    <w:qFormat/>
    <w:uiPriority w:val="9"/>
    <w:rPr>
      <w:rFonts w:ascii="宋体" w:hAnsi="宋体" w:eastAsia="宋体" w:cs="宋体"/>
      <w:b/>
      <w:bCs/>
      <w:kern w:val="36"/>
      <w:sz w:val="48"/>
      <w:szCs w:val="48"/>
    </w:rPr>
  </w:style>
  <w:style w:type="character" w:customStyle="1" w:styleId="14">
    <w:name w:val="日期 字符"/>
    <w:basedOn w:val="10"/>
    <w:link w:val="3"/>
    <w:semiHidden/>
    <w:qFormat/>
    <w:uiPriority w:val="99"/>
  </w:style>
  <w:style w:type="character" w:customStyle="1" w:styleId="15">
    <w:name w:val="页眉 字符"/>
    <w:basedOn w:val="10"/>
    <w:link w:val="6"/>
    <w:qFormat/>
    <w:uiPriority w:val="99"/>
    <w:rPr>
      <w:sz w:val="18"/>
      <w:szCs w:val="18"/>
    </w:rPr>
  </w:style>
  <w:style w:type="character" w:customStyle="1" w:styleId="16">
    <w:name w:val="页脚 字符"/>
    <w:basedOn w:val="10"/>
    <w:link w:val="5"/>
    <w:qFormat/>
    <w:uiPriority w:val="99"/>
    <w:rPr>
      <w:sz w:val="18"/>
      <w:szCs w:val="18"/>
    </w:rPr>
  </w:style>
  <w:style w:type="character" w:customStyle="1" w:styleId="17">
    <w:name w:val="未处理的提及1"/>
    <w:basedOn w:val="10"/>
    <w:semiHidden/>
    <w:unhideWhenUsed/>
    <w:qFormat/>
    <w:uiPriority w:val="99"/>
    <w:rPr>
      <w:color w:val="808080"/>
      <w:shd w:val="clear" w:color="auto" w:fill="E6E6E6"/>
    </w:rPr>
  </w:style>
  <w:style w:type="character" w:customStyle="1" w:styleId="18">
    <w:name w:val="批注框文本 字符"/>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BBB68-6070-4506-A326-39C39CB15F60}">
  <ds:schemaRefs/>
</ds:datastoreItem>
</file>

<file path=docProps/app.xml><?xml version="1.0" encoding="utf-8"?>
<Properties xmlns="http://schemas.openxmlformats.org/officeDocument/2006/extended-properties" xmlns:vt="http://schemas.openxmlformats.org/officeDocument/2006/docPropsVTypes">
  <Template>Normal</Template>
  <Pages>4</Pages>
  <Words>412</Words>
  <Characters>467</Characters>
  <Lines>18</Lines>
  <Paragraphs>5</Paragraphs>
  <TotalTime>3</TotalTime>
  <ScaleCrop>false</ScaleCrop>
  <LinksUpToDate>false</LinksUpToDate>
  <CharactersWithSpaces>472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2018-07-02T03:22:00Z</dcterms:created>
  <dc:creator>hp</dc:creator>
  <cp:lastModifiedBy>琉小末</cp:lastModifiedBy>
  <cp:lastPrinted>2024-12-25T05:38:00Z</cp:lastPrinted>
  <dcterms:modified xsi:type="dcterms:W3CDTF">2025-12-25T03:05:20Z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487F8278353B4C0FB6A5F316E65530E6_13</vt:lpwstr>
  </property>
  <property fmtid="{D5CDD505-2E9C-101B-9397-08002B2CF9AE}" pid="4" name="KSOTemplateDocerSaveRecord">
    <vt:lpwstr>eyJoZGlkIjoiNzdlZWM1NGJkNDhmMzBjYjI4Zjc2NGU5NTM5Y2Y0MzIiLCJ1c2VySWQiOiIzOTgwMjQ4NjAifQ==</vt:lpwstr>
  </property>
</Properties>
</file>