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E5C6A">
      <w:pPr>
        <w:pStyle w:val="2"/>
        <w:jc w:val="center"/>
        <w:rPr>
          <w:rFonts w:ascii="黑体" w:hAnsi="黑体" w:eastAsia="黑体"/>
          <w:b/>
          <w:spacing w:val="11"/>
          <w:sz w:val="28"/>
          <w:szCs w:val="28"/>
        </w:rPr>
      </w:pPr>
      <w:bookmarkStart w:id="0" w:name="_Hlk529983237"/>
      <w:r>
        <w:rPr>
          <w:rFonts w:hint="eastAsia" w:ascii="黑体" w:hAnsi="黑体" w:eastAsia="黑体"/>
          <w:b/>
          <w:spacing w:val="11"/>
          <w:sz w:val="28"/>
          <w:szCs w:val="28"/>
        </w:rPr>
        <w:t>排放数据调查表数据采集说</w:t>
      </w:r>
      <w:bookmarkEnd w:id="0"/>
      <w:r>
        <w:rPr>
          <w:rFonts w:hint="eastAsia" w:ascii="黑体" w:hAnsi="黑体" w:eastAsia="黑体"/>
          <w:b/>
          <w:spacing w:val="11"/>
          <w:sz w:val="28"/>
          <w:szCs w:val="28"/>
        </w:rPr>
        <w:t>明</w:t>
      </w:r>
    </w:p>
    <w:p w14:paraId="5BBC0DAE">
      <w:pPr>
        <w:widowControl/>
        <w:adjustRightInd w:val="0"/>
        <w:snapToGrid w:val="0"/>
        <w:spacing w:line="460" w:lineRule="exact"/>
        <w:jc w:val="left"/>
        <w:textAlignment w:val="baseline"/>
        <w:rPr>
          <w:rFonts w:ascii="黑体" w:hAnsi="黑体" w:eastAsia="黑体"/>
          <w:b/>
          <w:kern w:val="0"/>
          <w:szCs w:val="21"/>
        </w:rPr>
      </w:pPr>
      <w:bookmarkStart w:id="1" w:name="_GoBack"/>
      <w:bookmarkEnd w:id="1"/>
    </w:p>
    <w:p w14:paraId="25C51B29">
      <w:pPr>
        <w:pStyle w:val="8"/>
        <w:widowControl/>
        <w:numPr>
          <w:ilvl w:val="0"/>
          <w:numId w:val="1"/>
        </w:numPr>
        <w:adjustRightInd w:val="0"/>
        <w:snapToGrid w:val="0"/>
        <w:spacing w:line="460" w:lineRule="exact"/>
        <w:ind w:firstLineChars="0"/>
        <w:jc w:val="left"/>
        <w:textAlignment w:val="baseline"/>
        <w:rPr>
          <w:b/>
          <w:kern w:val="0"/>
          <w:szCs w:val="21"/>
        </w:rPr>
      </w:pPr>
      <w:r>
        <w:rPr>
          <w:rFonts w:hint="eastAsia"/>
          <w:b/>
          <w:kern w:val="0"/>
          <w:szCs w:val="21"/>
        </w:rPr>
        <w:t>排放源包括二氧化碳排放测算边界内生产系统的直接排放源和间接排放源，以及原材料运输、预拌混凝土运输的移动排放源。</w:t>
      </w:r>
    </w:p>
    <w:p w14:paraId="52ADFFE3">
      <w:pPr>
        <w:pStyle w:val="8"/>
        <w:widowControl/>
        <w:numPr>
          <w:ilvl w:val="0"/>
          <w:numId w:val="1"/>
        </w:numPr>
        <w:adjustRightInd w:val="0"/>
        <w:snapToGrid w:val="0"/>
        <w:spacing w:line="460" w:lineRule="exact"/>
        <w:ind w:firstLineChars="0"/>
        <w:jc w:val="left"/>
        <w:textAlignment w:val="baseline"/>
        <w:rPr>
          <w:b/>
          <w:kern w:val="0"/>
          <w:szCs w:val="21"/>
        </w:rPr>
      </w:pPr>
      <w:r>
        <w:rPr>
          <w:rFonts w:hint="eastAsia"/>
          <w:b/>
          <w:kern w:val="0"/>
          <w:szCs w:val="21"/>
        </w:rPr>
        <w:t>生产系统的直接排放源包括厂区内消耗天然气、燃油、液化石油气等化石燃料的工业锅炉，以及其他消耗化石燃料的固定设施。不包括厂区内完成生产活动所使用的、消耗化石燃料的车辆，以及行政用车。直接排放源产生的二氧化碳排放称为“直接排放”。</w:t>
      </w:r>
    </w:p>
    <w:p w14:paraId="252AC7BB">
      <w:pPr>
        <w:pStyle w:val="8"/>
        <w:widowControl/>
        <w:numPr>
          <w:ilvl w:val="0"/>
          <w:numId w:val="1"/>
        </w:numPr>
        <w:adjustRightInd w:val="0"/>
        <w:snapToGrid w:val="0"/>
        <w:spacing w:line="460" w:lineRule="exact"/>
        <w:ind w:firstLineChars="0"/>
        <w:jc w:val="left"/>
        <w:textAlignment w:val="baseline"/>
        <w:rPr>
          <w:b/>
          <w:kern w:val="0"/>
          <w:szCs w:val="21"/>
        </w:rPr>
      </w:pPr>
      <w:r>
        <w:rPr>
          <w:rFonts w:hint="eastAsia"/>
          <w:b/>
          <w:kern w:val="0"/>
          <w:szCs w:val="21"/>
        </w:rPr>
        <w:t>生产系统的间接排放源包括厂区内“配料</w:t>
      </w:r>
      <w:r>
        <w:rPr>
          <w:b/>
          <w:kern w:val="0"/>
          <w:szCs w:val="21"/>
        </w:rPr>
        <w:t>-</w:t>
      </w:r>
      <w:r>
        <w:rPr>
          <w:rFonts w:hint="eastAsia"/>
          <w:b/>
          <w:kern w:val="0"/>
          <w:szCs w:val="21"/>
        </w:rPr>
        <w:t>计量</w:t>
      </w:r>
      <w:r>
        <w:rPr>
          <w:b/>
          <w:kern w:val="0"/>
          <w:szCs w:val="21"/>
        </w:rPr>
        <w:t>-</w:t>
      </w:r>
      <w:r>
        <w:rPr>
          <w:rFonts w:hint="eastAsia"/>
          <w:b/>
          <w:kern w:val="0"/>
          <w:szCs w:val="21"/>
        </w:rPr>
        <w:t>搅拌</w:t>
      </w:r>
      <w:r>
        <w:rPr>
          <w:b/>
          <w:kern w:val="0"/>
          <w:szCs w:val="21"/>
        </w:rPr>
        <w:t>-</w:t>
      </w:r>
      <w:r>
        <w:rPr>
          <w:rFonts w:hint="eastAsia"/>
          <w:b/>
          <w:kern w:val="0"/>
          <w:szCs w:val="21"/>
        </w:rPr>
        <w:t>卸料”全过程中消耗电力和外购热力的设备和设施。间接排放源产生的二氧化碳排放称为“间接排放”。</w:t>
      </w:r>
    </w:p>
    <w:p w14:paraId="160411CB">
      <w:pPr>
        <w:pStyle w:val="8"/>
        <w:widowControl/>
        <w:numPr>
          <w:ilvl w:val="0"/>
          <w:numId w:val="1"/>
        </w:numPr>
        <w:adjustRightInd w:val="0"/>
        <w:snapToGrid w:val="0"/>
        <w:spacing w:line="460" w:lineRule="exact"/>
        <w:ind w:firstLineChars="0"/>
        <w:jc w:val="left"/>
        <w:textAlignment w:val="baseline"/>
        <w:rPr>
          <w:rFonts w:hint="eastAsia"/>
          <w:b/>
          <w:kern w:val="0"/>
          <w:szCs w:val="21"/>
        </w:rPr>
      </w:pPr>
      <w:r>
        <w:rPr>
          <w:rFonts w:hint="eastAsia"/>
          <w:b/>
          <w:kern w:val="0"/>
          <w:szCs w:val="21"/>
        </w:rPr>
        <w:t>移动排放源包括企业自有运输车辆和企业租赁的运输车辆，在原材料运输、预拌混凝土运输过程中上述运输车辆消耗的汽油、柴油和电力所产生的排放称为“移动排放”。</w:t>
      </w:r>
    </w:p>
    <w:p w14:paraId="0F729491">
      <w:pPr>
        <w:pStyle w:val="8"/>
        <w:widowControl/>
        <w:numPr>
          <w:ilvl w:val="0"/>
          <w:numId w:val="1"/>
        </w:numPr>
        <w:adjustRightInd w:val="0"/>
        <w:snapToGrid w:val="0"/>
        <w:spacing w:line="460" w:lineRule="exact"/>
        <w:ind w:firstLineChars="0"/>
        <w:jc w:val="left"/>
        <w:textAlignment w:val="baseline"/>
        <w:rPr>
          <w:b/>
          <w:kern w:val="0"/>
          <w:szCs w:val="21"/>
        </w:rPr>
      </w:pPr>
      <w:r>
        <w:rPr>
          <w:rFonts w:hint="eastAsia"/>
          <w:b/>
          <w:kern w:val="0"/>
          <w:szCs w:val="21"/>
        </w:rPr>
        <w:t>企业应对直接排放源、间接排放源、自有的移动排放源建立台账，以消费能源种类为分类基础，分别或者合并记录直排排放源和间接排放源的月度和年度能源消费量。</w:t>
      </w:r>
    </w:p>
    <w:p w14:paraId="439A9FB0">
      <w:pPr>
        <w:pStyle w:val="8"/>
        <w:widowControl/>
        <w:numPr>
          <w:ilvl w:val="0"/>
          <w:numId w:val="1"/>
        </w:numPr>
        <w:adjustRightInd w:val="0"/>
        <w:snapToGrid w:val="0"/>
        <w:spacing w:line="460" w:lineRule="exact"/>
        <w:ind w:firstLineChars="0"/>
        <w:jc w:val="left"/>
        <w:textAlignment w:val="baseline"/>
        <w:rPr>
          <w:rFonts w:hint="eastAsia"/>
          <w:b/>
          <w:kern w:val="0"/>
          <w:szCs w:val="21"/>
        </w:rPr>
      </w:pPr>
      <w:r>
        <w:rPr>
          <w:rFonts w:hint="eastAsia"/>
          <w:b/>
          <w:kern w:val="0"/>
          <w:szCs w:val="21"/>
        </w:rPr>
        <w:t>能源消费量优先选用计量表读数，并根据供应商提供的发票或者结算单等结算凭证进行交叉核对。如果计量表读数不可获得，可采用供应商提供的发票或者结算单等结算凭证上的数据，并通过月度混凝土产量与能源消费量的对比进行交叉核对。</w:t>
      </w:r>
    </w:p>
    <w:p w14:paraId="5F49EAD5">
      <w:pPr>
        <w:pStyle w:val="8"/>
        <w:widowControl/>
        <w:numPr>
          <w:ilvl w:val="0"/>
          <w:numId w:val="1"/>
        </w:numPr>
        <w:adjustRightInd w:val="0"/>
        <w:snapToGrid w:val="0"/>
        <w:spacing w:line="460" w:lineRule="exact"/>
        <w:ind w:firstLineChars="0"/>
        <w:jc w:val="left"/>
        <w:textAlignment w:val="baseline"/>
        <w:rPr>
          <w:rFonts w:hint="eastAsia"/>
          <w:b/>
          <w:kern w:val="0"/>
          <w:szCs w:val="21"/>
        </w:rPr>
      </w:pPr>
      <w:r>
        <w:rPr>
          <w:rFonts w:hint="eastAsia"/>
          <w:b/>
          <w:kern w:val="0"/>
          <w:szCs w:val="21"/>
        </w:rPr>
        <w:t>企业租赁的移动排放源的能源消耗数据可通过以下方式获取：</w:t>
      </w:r>
    </w:p>
    <w:p w14:paraId="1576C38C">
      <w:pPr>
        <w:pStyle w:val="8"/>
        <w:widowControl/>
        <w:numPr>
          <w:ilvl w:val="1"/>
          <w:numId w:val="1"/>
        </w:numPr>
        <w:adjustRightInd w:val="0"/>
        <w:snapToGrid w:val="0"/>
        <w:spacing w:line="460" w:lineRule="exact"/>
        <w:ind w:firstLineChars="0"/>
        <w:jc w:val="left"/>
        <w:textAlignment w:val="baseline"/>
        <w:rPr>
          <w:rFonts w:hint="eastAsia"/>
          <w:b/>
          <w:kern w:val="0"/>
          <w:szCs w:val="21"/>
        </w:rPr>
      </w:pPr>
      <w:r>
        <w:rPr>
          <w:rFonts w:hint="eastAsia"/>
          <w:b/>
          <w:kern w:val="0"/>
          <w:szCs w:val="21"/>
        </w:rPr>
        <w:t>直接计量；</w:t>
      </w:r>
    </w:p>
    <w:p w14:paraId="2F5C6757">
      <w:pPr>
        <w:pStyle w:val="8"/>
        <w:widowControl/>
        <w:numPr>
          <w:ilvl w:val="1"/>
          <w:numId w:val="1"/>
        </w:numPr>
        <w:adjustRightInd w:val="0"/>
        <w:snapToGrid w:val="0"/>
        <w:spacing w:line="460" w:lineRule="exact"/>
        <w:ind w:firstLineChars="0"/>
        <w:jc w:val="left"/>
        <w:textAlignment w:val="baseline"/>
        <w:rPr>
          <w:rFonts w:hint="eastAsia"/>
          <w:b/>
          <w:kern w:val="0"/>
          <w:szCs w:val="21"/>
        </w:rPr>
      </w:pPr>
      <w:r>
        <w:rPr>
          <w:rFonts w:hint="eastAsia"/>
          <w:b/>
          <w:kern w:val="0"/>
          <w:szCs w:val="21"/>
        </w:rPr>
        <w:t>或，车辆业主提供的能源消耗量发票或者结算单；</w:t>
      </w:r>
    </w:p>
    <w:p w14:paraId="56E723DF">
      <w:pPr>
        <w:pStyle w:val="8"/>
        <w:widowControl/>
        <w:numPr>
          <w:ilvl w:val="1"/>
          <w:numId w:val="1"/>
        </w:numPr>
        <w:adjustRightInd w:val="0"/>
        <w:snapToGrid w:val="0"/>
        <w:spacing w:line="460" w:lineRule="exact"/>
        <w:ind w:firstLineChars="0"/>
        <w:jc w:val="left"/>
        <w:textAlignment w:val="baseline"/>
        <w:rPr>
          <w:rFonts w:hint="eastAsia"/>
          <w:b/>
          <w:kern w:val="0"/>
          <w:szCs w:val="21"/>
        </w:rPr>
      </w:pPr>
      <w:r>
        <w:rPr>
          <w:rFonts w:hint="eastAsia"/>
          <w:b/>
          <w:kern w:val="0"/>
          <w:szCs w:val="21"/>
        </w:rPr>
        <w:t>或，</w:t>
      </w:r>
      <w:r>
        <w:rPr>
          <w:b/>
          <w:kern w:val="0"/>
          <w:szCs w:val="21"/>
        </w:rPr>
        <w:t>通过单位运输量的平均能源消耗数据乘以总运输量</w:t>
      </w:r>
      <w:r>
        <w:rPr>
          <w:rFonts w:hint="eastAsia"/>
          <w:b/>
          <w:kern w:val="0"/>
          <w:szCs w:val="21"/>
        </w:rPr>
        <w:t>；</w:t>
      </w:r>
    </w:p>
    <w:p w14:paraId="23D3BFAB">
      <w:pPr>
        <w:pStyle w:val="8"/>
        <w:widowControl/>
        <w:numPr>
          <w:ilvl w:val="1"/>
          <w:numId w:val="1"/>
        </w:numPr>
        <w:adjustRightInd w:val="0"/>
        <w:snapToGrid w:val="0"/>
        <w:spacing w:line="460" w:lineRule="exact"/>
        <w:ind w:firstLineChars="0"/>
        <w:jc w:val="left"/>
        <w:textAlignment w:val="baseline"/>
        <w:rPr>
          <w:b/>
          <w:kern w:val="0"/>
          <w:szCs w:val="21"/>
        </w:rPr>
      </w:pPr>
      <w:r>
        <w:rPr>
          <w:rFonts w:hint="eastAsia"/>
          <w:b/>
          <w:kern w:val="0"/>
          <w:szCs w:val="21"/>
        </w:rPr>
        <w:t>或，根据运输价格测算合理的能源消耗成本，通过能源消耗成本和其年度平均价格估算能源消耗总量。</w:t>
      </w:r>
      <w:r>
        <w:rPr>
          <w:b/>
          <w:kern w:val="0"/>
          <w:szCs w:val="21"/>
        </w:rPr>
        <w:br w:type="textWrapping"/>
      </w:r>
    </w:p>
    <w:p w14:paraId="1D1863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DE"/>
    <w:family w:val="roman"/>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67EEA"/>
    <w:multiLevelType w:val="multilevel"/>
    <w:tmpl w:val="34167E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5"/>
    <w:rsid w:val="001D4EEF"/>
    <w:rsid w:val="00261431"/>
    <w:rsid w:val="003E6F12"/>
    <w:rsid w:val="005C0CE0"/>
    <w:rsid w:val="00675FA5"/>
    <w:rsid w:val="00A45406"/>
    <w:rsid w:val="00AA43B5"/>
    <w:rsid w:val="00C35915"/>
    <w:rsid w:val="00CB0228"/>
    <w:rsid w:val="00CD1DEF"/>
    <w:rsid w:val="00E03B4C"/>
    <w:rsid w:val="60D73E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5"/>
    <w:uiPriority w:val="99"/>
    <w:pPr>
      <w:jc w:val="left"/>
    </w:pPr>
  </w:style>
  <w:style w:type="character" w:customStyle="1" w:styleId="5">
    <w:name w:val="批注文字 Char"/>
    <w:basedOn w:val="4"/>
    <w:link w:val="2"/>
    <w:uiPriority w:val="99"/>
    <w:rPr>
      <w:rFonts w:ascii="Calibri" w:hAnsi="Calibri" w:eastAsia="宋体" w:cs="Times New Roman"/>
    </w:rPr>
  </w:style>
  <w:style w:type="paragraph" w:customStyle="1" w:styleId="6">
    <w:name w:val="1"/>
    <w:basedOn w:val="2"/>
    <w:link w:val="7"/>
    <w:qFormat/>
    <w:uiPriority w:val="99"/>
    <w:pPr>
      <w:jc w:val="center"/>
      <w:outlineLvl w:val="0"/>
    </w:pPr>
    <w:rPr>
      <w:rFonts w:ascii="黑体" w:hAnsi="黑体" w:eastAsia="黑体"/>
      <w:spacing w:val="11"/>
      <w:sz w:val="28"/>
      <w:szCs w:val="28"/>
    </w:rPr>
  </w:style>
  <w:style w:type="character" w:customStyle="1" w:styleId="7">
    <w:name w:val="1 字符"/>
    <w:basedOn w:val="5"/>
    <w:link w:val="6"/>
    <w:qFormat/>
    <w:locked/>
    <w:uiPriority w:val="99"/>
    <w:rPr>
      <w:rFonts w:ascii="黑体" w:hAnsi="黑体" w:eastAsia="黑体" w:cs="Times New Roman"/>
      <w:spacing w:val="11"/>
      <w:sz w:val="28"/>
      <w:szCs w:val="2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624</Words>
  <Characters>624</Characters>
  <Lines>4</Lines>
  <Paragraphs>1</Paragraphs>
  <TotalTime>21</TotalTime>
  <ScaleCrop>false</ScaleCrop>
  <LinksUpToDate>false</LinksUpToDate>
  <CharactersWithSpaces>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2024-11-25T02:52:00Z</dcterms:created>
  <dc:creator>XTS</dc:creator>
  <cp:lastModifiedBy>张颖</cp:lastModifiedBy>
  <dcterms:modified xsi:type="dcterms:W3CDTF">2024-11-27T03:37:01Z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CDA91478C3894E0488C73DD53BE21735_12</vt:lpwstr>
  </property>
</Properties>
</file>