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94949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</w:rPr>
        <w:t>2024年第一次评估预拌混凝土企业三级指标不合格项次统计表</w:t>
      </w:r>
    </w:p>
    <w:bookmarkEnd w:id="0"/>
    <w:tbl>
      <w:tblPr>
        <w:tblW w:w="11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356"/>
        <w:gridCol w:w="1356"/>
        <w:gridCol w:w="1356"/>
        <w:gridCol w:w="5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CE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评估指标</w:t>
            </w: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EEECE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检查项次</w:t>
            </w: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EEECE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不合格项次</w:t>
            </w:r>
          </w:p>
        </w:tc>
        <w:tc>
          <w:tcPr>
            <w:tcW w:w="121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EEECE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不合格率</w:t>
            </w:r>
          </w:p>
        </w:tc>
        <w:tc>
          <w:tcPr>
            <w:tcW w:w="496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EEECE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得分率较低的三级指标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信息化管理及平台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1721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14.41%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运输单的名称是否与施工许可证的名称一致；原材料自动提示生成委托台账；混凝土试块抗压强度统计（ERP系统）；技术资料理论配比自动关联生产配合、剩退灰数量核查。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生产管理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1533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6.59%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生产调度人员日志；开盘鉴定；质量跟踪生产记录；质检人员工作日志；配合比调整记录。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生产/试验设备管理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1983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2.37%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试验设备台帐和档案；支持动态数据实时传输功能；仪器使用记录；结果确认书；运输车清洁程度。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原材料质量管理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3442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4.76%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出厂检验报告；进场记录；合格证（三联单）砂；合格证（三联单）石；进场记录项目。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出厂质量管理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778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10.67%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剩退灰处理记录；剩退灰记录台账；混凝土出厂合格证；混凝土出场质量检验记录。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企业试验室管理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3199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5.06%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试验报告；试配混凝土工作性；水泥、矿粉、粉煤灰、砂、石、混凝土试验后留置；配合比调整授权书；抗压过程是否全程监控。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能力核验及拌合物质量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576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2.08%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试验仪器计量；试验前准备；数据处理及计算；试验环境信息记录。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企业综合管理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1404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1.99%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培训计划；专人管理；培训记录；预拌混凝土合同应明确生产经营地址（甲乙双方）、项目负责人及联系方式（甲乙双方）、调度联系电话、7d和28d标养混凝土试件抗压强度指标值及其它技术要求；房屋和市政基础设施工程的预拌混凝土供应合同是否录入“北京市预拌混凝土生产使用信息化管理平台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14636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5.81%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</w:tr>
    </w:tbl>
    <w:p>
      <w:pPr>
        <w:ind w:firstLine="261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ZWM1NGJkNDhmMzBjYjI4Zjc2NGU5NTM5Y2Y0MzIifQ=="/>
  </w:docVars>
  <w:rsids>
    <w:rsidRoot w:val="00000000"/>
    <w:rsid w:val="721B19B1"/>
    <w:rsid w:val="7804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803</Characters>
  <Lines>0</Lines>
  <Paragraphs>0</Paragraphs>
  <TotalTime>4</TotalTime>
  <ScaleCrop>false</ScaleCrop>
  <LinksUpToDate>false</LinksUpToDate>
  <CharactersWithSpaces>811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2024-07-08T06:33:00Z</dcterms:created>
  <dc:creator>lenovo</dc:creator>
  <cp:lastModifiedBy>琉小末</cp:lastModifiedBy>
  <dcterms:modified xsi:type="dcterms:W3CDTF">2024-07-10T06:45:07Z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85BDF770AEDE40F2A1A72485F16B3653_12</vt:lpwstr>
  </property>
</Properties>
</file>